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trPr>
          <w:jc w:val="center"/>
        </w:trPr>
        <w:tc>
          <w:tcPr>
            <w:tcW w:w="3544" w:type="dxa"/>
          </w:tcPr>
          <w:p>
            <w:pPr>
              <w:keepNext/>
              <w:spacing w:after="0" w:line="240" w:lineRule="auto"/>
              <w:jc w:val="center"/>
              <w:outlineLvl w:val="0"/>
              <w:rPr>
                <w:rFonts w:ascii="Times New Roman" w:eastAsia="Times New Roman" w:hAnsi="Times New Roman"/>
                <w:b/>
                <w:bCs/>
                <w:sz w:val="24"/>
                <w:szCs w:val="27"/>
              </w:rPr>
            </w:pPr>
            <w:bookmarkStart w:id="0" w:name="_GoBack"/>
            <w:bookmarkEnd w:id="0"/>
            <w:r>
              <w:rPr>
                <w:rFonts w:ascii="Times New Roman" w:eastAsia="Times New Roman" w:hAnsi="Times New Roman"/>
                <w:b/>
                <w:bCs/>
                <w:sz w:val="24"/>
                <w:szCs w:val="27"/>
              </w:rPr>
              <w:t>QUỐC HỘI</w:t>
            </w:r>
          </w:p>
          <w:p>
            <w:pPr>
              <w:spacing w:after="0" w:line="240" w:lineRule="auto"/>
              <w:jc w:val="center"/>
              <w:rPr>
                <w:rFonts w:ascii="Times New Roman" w:eastAsia="Times New Roman" w:hAnsi="Times New Roman"/>
                <w:spacing w:val="-8"/>
              </w:rPr>
            </w:pPr>
            <w:r>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pPr>
              <w:spacing w:after="0" w:line="240" w:lineRule="auto"/>
              <w:jc w:val="center"/>
              <w:rPr>
                <w:rFonts w:ascii="Times New Roman" w:eastAsia="Times New Roman" w:hAnsi="Times New Roman"/>
                <w:spacing w:val="-4"/>
                <w:sz w:val="26"/>
                <w:szCs w:val="26"/>
              </w:rPr>
            </w:pPr>
            <w:r>
              <w:rPr>
                <w:rFonts w:ascii="Times New Roman" w:eastAsia="Times New Roman" w:hAnsi="Times New Roman"/>
                <w:spacing w:val="-4"/>
                <w:sz w:val="26"/>
                <w:szCs w:val="26"/>
              </w:rPr>
              <w:t>Nghị quyết số:        /2025/QH15</w:t>
            </w:r>
          </w:p>
          <w:p>
            <w:pPr>
              <w:spacing w:after="0" w:line="240" w:lineRule="auto"/>
              <w:jc w:val="center"/>
              <w:rPr>
                <w:rFonts w:ascii="Times New Roman" w:eastAsia="Times New Roman" w:hAnsi="Times New Roman"/>
                <w:i/>
                <w:spacing w:val="-10"/>
                <w:sz w:val="28"/>
                <w:szCs w:val="28"/>
              </w:rPr>
            </w:pPr>
            <w:r>
              <w:rPr>
                <w:rFonts w:ascii="Times New Roman" w:eastAsia="Times New Roman" w:hAnsi="Times New Roman"/>
                <w:i/>
                <w:spacing w:val="-10"/>
                <w:sz w:val="28"/>
                <w:szCs w:val="28"/>
              </w:rPr>
              <w:t>Dự thảo</w:t>
            </w:r>
          </w:p>
        </w:tc>
        <w:tc>
          <w:tcPr>
            <w:tcW w:w="5670" w:type="dxa"/>
          </w:tcPr>
          <w:p>
            <w:pPr>
              <w:spacing w:after="0" w:line="240" w:lineRule="auto"/>
              <w:jc w:val="center"/>
              <w:rPr>
                <w:rFonts w:ascii="Times New Roman" w:eastAsia="Times New Roman" w:hAnsi="Times New Roman"/>
                <w:b/>
                <w:bCs/>
                <w:spacing w:val="-6"/>
                <w:sz w:val="26"/>
                <w:szCs w:val="28"/>
              </w:rPr>
            </w:pPr>
            <w:r>
              <w:rPr>
                <w:rFonts w:ascii="Times New Roman" w:eastAsia="Times New Roman" w:hAnsi="Times New Roman"/>
                <w:b/>
                <w:bCs/>
                <w:spacing w:val="-6"/>
                <w:sz w:val="26"/>
                <w:szCs w:val="28"/>
              </w:rPr>
              <w:t>CỘNG HÒA XÃ HỘI CHỦ NGHĨA VIỆT NAM</w:t>
            </w:r>
          </w:p>
          <w:p>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Độc lập - Tự do - Hạnh phúc</w:t>
            </w:r>
          </w:p>
          <w:p>
            <w:pPr>
              <w:spacing w:after="0" w:line="240" w:lineRule="auto"/>
              <w:jc w:val="center"/>
              <w:rPr>
                <w:rFonts w:ascii="Times New Roman" w:eastAsia="Times New Roman" w:hAnsi="Times New Roman"/>
              </w:rPr>
            </w:pPr>
            <w:r>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pPr>
        <w:widowControl w:val="0"/>
        <w:tabs>
          <w:tab w:val="left" w:pos="1650"/>
          <w:tab w:val="center" w:pos="4680"/>
        </w:tabs>
        <w:spacing w:after="0" w:line="276" w:lineRule="auto"/>
        <w:jc w:val="center"/>
        <w:rPr>
          <w:rFonts w:ascii="Times New Roman" w:hAnsi="Times New Roman"/>
          <w:sz w:val="28"/>
          <w:szCs w:val="28"/>
        </w:rPr>
      </w:pPr>
      <w:r>
        <w:rPr>
          <w:rFonts w:ascii="Times New Roman" w:hAnsi="Times New Roman"/>
          <w:b/>
          <w:bCs/>
          <w:sz w:val="28"/>
          <w:szCs w:val="28"/>
        </w:rPr>
        <w:t>NGHỊ QUYẾT</w:t>
      </w:r>
    </w:p>
    <w:p>
      <w:pPr>
        <w:widowControl w:val="0"/>
        <w:spacing w:after="0" w:line="276" w:lineRule="auto"/>
        <w:jc w:val="center"/>
        <w:rPr>
          <w:rFonts w:ascii="Times New Roman" w:hAnsi="Times New Roman"/>
          <w:b/>
          <w:sz w:val="28"/>
          <w:szCs w:val="28"/>
        </w:rPr>
      </w:pPr>
      <w:r>
        <w:rPr>
          <w:rFonts w:ascii="Times New Roman" w:hAnsi="Times New Roman"/>
          <w:b/>
          <w:sz w:val="28"/>
          <w:szCs w:val="28"/>
        </w:rPr>
        <w:t xml:space="preserve">Sửa đổi, bổ sung một số điều của Hiến pháp </w:t>
      </w:r>
    </w:p>
    <w:p>
      <w:pPr>
        <w:widowControl w:val="0"/>
        <w:spacing w:after="0" w:line="276" w:lineRule="auto"/>
        <w:jc w:val="center"/>
        <w:rPr>
          <w:rFonts w:ascii="Times New Roman" w:hAnsi="Times New Roman"/>
          <w:b/>
          <w:sz w:val="28"/>
          <w:szCs w:val="28"/>
        </w:rPr>
      </w:pPr>
      <w:r>
        <w:rPr>
          <w:rFonts w:ascii="Times New Roman" w:hAnsi="Times New Roman"/>
          <w:b/>
          <w:sz w:val="28"/>
          <w:szCs w:val="28"/>
        </w:rPr>
        <w:t>nước Cộng hòa xã hội chủ nghĩa Việt Nam năm 2013</w:t>
      </w:r>
    </w:p>
    <w:p>
      <w:pPr>
        <w:widowControl w:val="0"/>
        <w:spacing w:before="360" w:after="120" w:line="360" w:lineRule="exact"/>
        <w:jc w:val="center"/>
        <w:rPr>
          <w:rFonts w:ascii="Times New Roman" w:hAnsi="Times New Roman"/>
          <w:sz w:val="28"/>
          <w:szCs w:val="28"/>
        </w:rPr>
      </w:pPr>
      <w:r>
        <w:rPr>
          <w:rFonts w:ascii="Times New Roman" w:hAnsi="Times New Roman"/>
          <w:b/>
          <w:bCs/>
          <w:sz w:val="28"/>
          <w:szCs w:val="28"/>
        </w:rPr>
        <w:t>QUỐC HỘI</w:t>
      </w:r>
    </w:p>
    <w:p>
      <w:pPr>
        <w:widowControl w:val="0"/>
        <w:spacing w:before="80" w:after="80" w:line="240" w:lineRule="auto"/>
        <w:ind w:firstLine="720"/>
        <w:jc w:val="both"/>
        <w:rPr>
          <w:rFonts w:ascii="Times New Roman" w:hAnsi="Times New Roman"/>
          <w:i/>
          <w:iCs/>
          <w:sz w:val="28"/>
          <w:szCs w:val="28"/>
        </w:rPr>
      </w:pPr>
      <w:r>
        <w:rPr>
          <w:rFonts w:ascii="Times New Roman" w:hAnsi="Times New Roman"/>
          <w:i/>
          <w:iCs/>
          <w:sz w:val="28"/>
          <w:szCs w:val="28"/>
        </w:rPr>
        <w:t>Căn cứ Hiến pháp nước Cộng hòa xã hội chủ nghĩa Việt Nam năm 2013;</w:t>
      </w:r>
    </w:p>
    <w:p>
      <w:pPr>
        <w:widowControl w:val="0"/>
        <w:spacing w:before="80" w:after="80" w:line="240" w:lineRule="auto"/>
        <w:ind w:firstLine="720"/>
        <w:jc w:val="both"/>
        <w:rPr>
          <w:rFonts w:ascii="Times New Roman" w:hAnsi="Times New Roman"/>
          <w:i/>
          <w:iCs/>
          <w:sz w:val="28"/>
          <w:szCs w:val="28"/>
        </w:rPr>
      </w:pPr>
      <w:r>
        <w:rPr>
          <w:rFonts w:ascii="Times New Roman" w:hAnsi="Times New Roman"/>
          <w:i/>
          <w:iCs/>
          <w:sz w:val="28"/>
          <w:szCs w:val="28"/>
        </w:rPr>
        <w:t xml:space="preserve">Căn cứ Nghị quyết số 194/2025/QH15 ngày 05 tháng 5 năm 2025 của            Quốc hội về việc sửa đổi, bổ sung một số điều của Hiến pháp năm 2013, </w:t>
      </w:r>
    </w:p>
    <w:p>
      <w:pPr>
        <w:widowControl w:val="0"/>
        <w:spacing w:before="240" w:after="240" w:line="240" w:lineRule="auto"/>
        <w:jc w:val="center"/>
        <w:rPr>
          <w:rFonts w:ascii="Times New Roman" w:hAnsi="Times New Roman"/>
          <w:b/>
          <w:bCs/>
          <w:sz w:val="28"/>
          <w:szCs w:val="28"/>
        </w:rPr>
      </w:pPr>
      <w:r>
        <w:rPr>
          <w:rFonts w:ascii="Times New Roman" w:hAnsi="Times New Roman"/>
          <w:b/>
          <w:bCs/>
          <w:sz w:val="28"/>
          <w:szCs w:val="28"/>
        </w:rPr>
        <w:t>QUYẾT NGHỊ:</w:t>
      </w:r>
    </w:p>
    <w:p>
      <w:pPr>
        <w:widowControl w:val="0"/>
        <w:spacing w:before="240" w:after="240" w:line="240" w:lineRule="auto"/>
        <w:ind w:firstLine="709"/>
        <w:rPr>
          <w:rFonts w:ascii="Times New Roman" w:hAnsi="Times New Roman"/>
          <w:b/>
          <w:sz w:val="28"/>
          <w:szCs w:val="28"/>
        </w:rPr>
      </w:pPr>
      <w:r>
        <w:rPr>
          <w:rFonts w:ascii="Times New Roman" w:hAnsi="Times New Roman"/>
          <w:b/>
          <w:sz w:val="28"/>
          <w:szCs w:val="28"/>
        </w:rPr>
        <w:t>Điều 1</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Sửa đổi, bổ sung một số điều của Hiến pháp nước Cộng hoà xã hội chủ nghĩa Việt Nam năm 2013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Sửa đổi, bổ sung Điều 9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Điều 9</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pPr>
        <w:widowControl w:val="0"/>
        <w:spacing w:before="240" w:after="240" w:line="240" w:lineRule="auto"/>
        <w:ind w:firstLine="709"/>
        <w:jc w:val="both"/>
        <w:rPr>
          <w:rFonts w:ascii="Times New Roman" w:hAnsi="Times New Roman"/>
          <w:spacing w:val="-2"/>
          <w:sz w:val="28"/>
          <w:szCs w:val="28"/>
        </w:rPr>
      </w:pPr>
      <w:bookmarkStart w:id="1" w:name="_Hlk197356699"/>
      <w:r>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2.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Pr>
          <w:rFonts w:ascii="Times New Roman" w:hAnsi="Times New Roman"/>
          <w:sz w:val="28"/>
          <w:szCs w:val="28"/>
        </w:rPr>
        <w:lastRenderedPageBreak/>
        <w:t>sự chủ trì của Mặt trận Tổ quốc Việt Nam.</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2. Sửa đổi, bổ sung Điều 10 như sau:</w:t>
      </w:r>
    </w:p>
    <w:p>
      <w:pPr>
        <w:widowControl w:val="0"/>
        <w:spacing w:before="240" w:after="240" w:line="240" w:lineRule="auto"/>
        <w:ind w:firstLine="709"/>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Điều 10</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3. Sửa đổi, bổ sung khoản 1 Điều 84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4. Sửa đổi, bổ sung Điều 110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Điều 110</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2. Đơn vị hành chính - kinh tế đặc biệt do Quốc hội thành lập.  </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5. Sửa đổi, bổ sung khoản 2 Điều 111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6. Sửa đổi, bổ sung khoản 2 Điều 112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 Sửa đổi, bổ sung khoản 1 Điều 114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Ủy ban nhân dân do Hội đồng nhân dân cùng cấp bầu là cơ quan chấp hành của Hội đồng nhân dân, cơ quan hành chính nhà nước ở địa phương, chịu trách nhiệm trước Hội đồng nhân dân và cơ quan hành chính nhà nước cấp trên.”.</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 Sửa đổi, bổ sung khoản 2 Điều 115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Nghị quyết này có hiệu lực thi hành từ ngày 01 tháng 7 năm 2025.</w:t>
      </w:r>
    </w:p>
    <w:p>
      <w:pPr>
        <w:widowControl w:val="0"/>
        <w:spacing w:before="240" w:after="24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2. Kể từ ngày Nghị quyết này có hiệu lực thi hành, kết thúc hoạt động của đơn vị hành chính cấp huyện trong cả nước.  </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3. Khi kiện toàn tổ chức bộ máy của các cơ quan sau khi thực hiện sắp xếp đơn vị hành chính và kết thúc hoạt động của đơn vị hành chính cấp huyện trong năm 2025 thì không tiến hành bầu các chức danh Chủ tịch, Phó Chủ tịch Hội đồng nhân dân, Trưởng các Ban của Hội đồng nhân dân, Chủ tịch, Phó Chủ tịch, Ủy viên Ủy ban nhân dân tại đơn vị hành chính hình thành sau sắp xếp; không bầu Trưởng đoàn, Phó Trưởng Đoàn đại biểu Quốc hội các tỉnh, thành phố trực thuộc trung ương hình thành sau sắp xếp. Căn cứ thông báo của cấp ủy có thẩm quyền quản lý cán bộ, Ủy ban Thường vụ Quốc hội chỉ định Chủ tịch, Phó Chủ tịch Hội đồng nhân dân, Trưởng các Ban của Hội đồng nhân dân, Trưởng đoàn, Phó Trưởng Đoàn đại biểu Quốc hội</w:t>
      </w:r>
      <w:r>
        <w:rPr>
          <w:rFonts w:ascii="Times New Roman" w:hAnsi="Times New Roman"/>
          <w:b/>
          <w:sz w:val="28"/>
          <w:szCs w:val="28"/>
        </w:rPr>
        <w:t xml:space="preserve"> </w:t>
      </w:r>
      <w:r>
        <w:rPr>
          <w:rFonts w:ascii="Times New Roman" w:hAnsi="Times New Roman"/>
          <w:sz w:val="28"/>
          <w:szCs w:val="28"/>
        </w:rPr>
        <w:t>của các tỉnh, thành phố trực thuộc trung ương hình thành sau sắp xếp;</w:t>
      </w:r>
      <w:r>
        <w:rPr>
          <w:rFonts w:ascii="Times New Roman" w:hAnsi="Times New Roman"/>
          <w:b/>
          <w:sz w:val="28"/>
          <w:szCs w:val="28"/>
        </w:rPr>
        <w:t xml:space="preserve"> </w:t>
      </w:r>
      <w:r>
        <w:rPr>
          <w:rFonts w:ascii="Times New Roman" w:hAnsi="Times New Roman"/>
          <w:sz w:val="28"/>
          <w:szCs w:val="28"/>
        </w:rPr>
        <w:t>Thủ tướng Chính phủ chỉ định Chủ tịch, Phó Chủ tịch Ủy ban nhân dân</w:t>
      </w:r>
      <w:r>
        <w:rPr>
          <w:rFonts w:ascii="Times New Roman" w:hAnsi="Times New Roman"/>
          <w:b/>
          <w:sz w:val="28"/>
          <w:szCs w:val="28"/>
        </w:rPr>
        <w:t xml:space="preserve"> </w:t>
      </w:r>
      <w:r>
        <w:rPr>
          <w:rFonts w:ascii="Times New Roman" w:hAnsi="Times New Roman"/>
          <w:sz w:val="28"/>
          <w:szCs w:val="28"/>
        </w:rPr>
        <w:t>của các tỉnh, thành phố trực thuộc trung ương hình thành sau sắp xếp; Thường trực Hội đồng nhân dân cấp tỉnh chỉ định Ủy viên Ủy ban nhân dân</w:t>
      </w:r>
      <w:r>
        <w:rPr>
          <w:rFonts w:ascii="Times New Roman" w:hAnsi="Times New Roman"/>
          <w:b/>
          <w:sz w:val="28"/>
          <w:szCs w:val="28"/>
        </w:rPr>
        <w:t xml:space="preserve"> </w:t>
      </w:r>
      <w:r>
        <w:rPr>
          <w:rFonts w:ascii="Times New Roman" w:hAnsi="Times New Roman"/>
          <w:sz w:val="28"/>
          <w:szCs w:val="28"/>
        </w:rPr>
        <w:t xml:space="preserve">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Thường trực Hội đồng nhân dân cấp xã chỉ định Ủy viên Ủy ban nhân dân của đơn vị hành chính cấp xã hình thành sau sắp xếp. Trường hợp đặc biệt, cho phép chỉ định nhân sự không phải là đại biểu Hội đồng nhân dân giữ các chức danh lãnh đạo Hội đồng nhân dân cấp tỉnh, cấp xã hình thành sau sắp xếp.  </w:t>
      </w:r>
    </w:p>
    <w:p>
      <w:pPr>
        <w:widowControl w:val="0"/>
        <w:spacing w:before="360" w:after="120" w:line="360" w:lineRule="exact"/>
        <w:ind w:firstLine="720"/>
        <w:jc w:val="both"/>
        <w:rPr>
          <w:rFonts w:ascii="Times New Roman" w:hAnsi="Times New Roman"/>
          <w:i/>
          <w:iCs/>
          <w:sz w:val="28"/>
          <w:szCs w:val="28"/>
        </w:rPr>
      </w:pPr>
      <w:r>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Pr>
          <w:rFonts w:ascii="Times New Roman" w:hAnsi="Times New Roman"/>
          <w:i/>
          <w:iCs/>
          <w:sz w:val="28"/>
          <w:szCs w:val="28"/>
        </w:rPr>
        <w:t>Nghị quyết này được Quốc hội nước Cộng hòa xã hội chủ nghĩa Việt Nam khóa XV, kỳ họp thứ 9 thông qua ngày … tháng … năm 2025.</w:t>
      </w:r>
    </w:p>
    <w:p>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112"/>
      </w:tblGrid>
      <w:tr>
        <w:trPr>
          <w:trHeight w:val="1387"/>
          <w:tblCellSpacing w:w="0" w:type="dxa"/>
        </w:trPr>
        <w:tc>
          <w:tcPr>
            <w:tcW w:w="4068" w:type="dxa"/>
            <w:shd w:val="clear" w:color="auto" w:fill="FFFFFF"/>
            <w:tcMar>
              <w:top w:w="0" w:type="dxa"/>
              <w:left w:w="108" w:type="dxa"/>
              <w:bottom w:w="0" w:type="dxa"/>
              <w:right w:w="108" w:type="dxa"/>
            </w:tcMar>
            <w:hideMark/>
          </w:tcPr>
          <w:p>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pPr>
              <w:widowControl w:val="0"/>
              <w:jc w:val="center"/>
              <w:rPr>
                <w:rFonts w:ascii="Times New Roman" w:hAnsi="Times New Roman"/>
                <w:sz w:val="26"/>
                <w:szCs w:val="26"/>
              </w:rPr>
            </w:pPr>
            <w:r>
              <w:rPr>
                <w:rFonts w:ascii="Times New Roman" w:hAnsi="Times New Roman"/>
                <w:b/>
                <w:bCs/>
                <w:sz w:val="26"/>
                <w:szCs w:val="26"/>
              </w:rPr>
              <w:t>CHỦ TỊCH QUỐC HỘI</w:t>
            </w:r>
            <w:r>
              <w:rPr>
                <w:rFonts w:ascii="Times New Roman" w:hAnsi="Times New Roman"/>
                <w:b/>
                <w:bCs/>
                <w:sz w:val="26"/>
                <w:szCs w:val="26"/>
              </w:rPr>
              <w:br/>
            </w:r>
          </w:p>
          <w:p>
            <w:pPr>
              <w:widowControl w:val="0"/>
              <w:jc w:val="center"/>
              <w:rPr>
                <w:rFonts w:ascii="Times New Roman" w:hAnsi="Times New Roman"/>
                <w:sz w:val="26"/>
                <w:szCs w:val="26"/>
              </w:rPr>
            </w:pPr>
          </w:p>
          <w:p>
            <w:pPr>
              <w:widowControl w:val="0"/>
              <w:jc w:val="center"/>
              <w:rPr>
                <w:rFonts w:ascii="Times New Roman" w:hAnsi="Times New Roman"/>
                <w:sz w:val="26"/>
                <w:szCs w:val="26"/>
              </w:rPr>
            </w:pPr>
          </w:p>
          <w:p>
            <w:pPr>
              <w:widowControl w:val="0"/>
              <w:jc w:val="center"/>
              <w:rPr>
                <w:rFonts w:ascii="Times New Roman" w:hAnsi="Times New Roman"/>
                <w:sz w:val="26"/>
                <w:szCs w:val="26"/>
              </w:rPr>
            </w:pPr>
            <w:r>
              <w:rPr>
                <w:rFonts w:ascii="Times New Roman" w:hAnsi="Times New Roman"/>
                <w:b/>
                <w:bCs/>
                <w:sz w:val="28"/>
                <w:szCs w:val="28"/>
              </w:rPr>
              <w:t>Trần Thanh Mẫn</w:t>
            </w:r>
          </w:p>
        </w:tc>
      </w:tr>
    </w:tbl>
    <w:p>
      <w:pPr>
        <w:widowControl w:val="0"/>
      </w:pPr>
    </w:p>
    <w:sectPr>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2783"/>
      <w:docPartObj>
        <w:docPartGallery w:val="Page Numbers (Top of Page)"/>
        <w:docPartUnique/>
      </w:docPartObj>
    </w:sdtPr>
    <w:sdtEndPr>
      <w:rPr>
        <w:rFonts w:ascii="Times New Roman" w:hAnsi="Times New Roman"/>
        <w:noProof/>
        <w:sz w:val="28"/>
        <w:szCs w:val="28"/>
      </w:rPr>
    </w:sdtEndPr>
    <w:sdtContent>
      <w:p>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noProof/>
            <w:sz w:val="28"/>
            <w:szCs w:val="28"/>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4">
    <w:name w:val="heading 4"/>
    <w:basedOn w:val="Normal"/>
    <w:next w:val="Normal"/>
    <w:link w:val="Heading4Char"/>
    <w:autoRedefine/>
    <w:uiPriority w:val="9"/>
    <w:semiHidden/>
    <w:unhideWhenUsed/>
    <w:qFormat/>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i/>
      <w:color w:val="000000" w:themeColor="text1"/>
      <w:sz w:val="28"/>
      <w:szCs w:val="28"/>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4">
    <w:name w:val="heading 4"/>
    <w:basedOn w:val="Normal"/>
    <w:next w:val="Normal"/>
    <w:link w:val="Heading4Char"/>
    <w:autoRedefine/>
    <w:uiPriority w:val="9"/>
    <w:semiHidden/>
    <w:unhideWhenUsed/>
    <w:qFormat/>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i/>
      <w:color w:val="000000" w:themeColor="text1"/>
      <w:sz w:val="28"/>
      <w:szCs w:val="28"/>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1B6AA-F826-4B9C-88A3-A20EA90C9F8E}"/>
</file>

<file path=customXml/itemProps2.xml><?xml version="1.0" encoding="utf-8"?>
<ds:datastoreItem xmlns:ds="http://schemas.openxmlformats.org/officeDocument/2006/customXml" ds:itemID="{297540BE-8E7C-49D8-95AB-8EEB3018E068}"/>
</file>

<file path=customXml/itemProps3.xml><?xml version="1.0" encoding="utf-8"?>
<ds:datastoreItem xmlns:ds="http://schemas.openxmlformats.org/officeDocument/2006/customXml" ds:itemID="{A7D6984F-31F5-4944-84E7-3D3A422F1B93}"/>
</file>

<file path=customXml/itemProps4.xml><?xml version="1.0" encoding="utf-8"?>
<ds:datastoreItem xmlns:ds="http://schemas.openxmlformats.org/officeDocument/2006/customXml" ds:itemID="{D0229201-1263-441D-8600-F46A33E2EFEF}"/>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2025-05-05T10:33:00Z</cp:lastPrinted>
  <dcterms:created xsi:type="dcterms:W3CDTF">2025-05-09T01:22:00Z</dcterms:created>
  <dcterms:modified xsi:type="dcterms:W3CDTF">2025-05-09T01:22:00Z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